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12" w:rsidRDefault="00DB3E1F"/>
    <w:p w:rsidR="00492647" w:rsidRDefault="00492647" w:rsidP="00492647">
      <w:pPr>
        <w:pStyle w:val="Heading1"/>
      </w:pPr>
    </w:p>
    <w:p w:rsidR="00492647" w:rsidRDefault="00492647" w:rsidP="00492647">
      <w:pPr>
        <w:pStyle w:val="Heading1"/>
      </w:pPr>
    </w:p>
    <w:p w:rsidR="00492647" w:rsidRDefault="00492647" w:rsidP="00492647">
      <w:pPr>
        <w:pStyle w:val="Heading1"/>
      </w:pPr>
      <w:r>
        <w:t>Panelform Freight Policy</w:t>
      </w:r>
    </w:p>
    <w:p w:rsidR="00492647" w:rsidRPr="00A27D85" w:rsidRDefault="00492647" w:rsidP="00492647"/>
    <w:p w:rsidR="00492647" w:rsidRDefault="00492647" w:rsidP="00492647">
      <w:pPr>
        <w:pStyle w:val="Heading3"/>
      </w:pPr>
      <w:r>
        <w:t>EasyOrder</w:t>
      </w:r>
    </w:p>
    <w:p w:rsidR="00492647" w:rsidRDefault="00492647" w:rsidP="00492647">
      <w:pPr>
        <w:pStyle w:val="ListParagraph"/>
        <w:numPr>
          <w:ilvl w:val="0"/>
          <w:numId w:val="1"/>
        </w:numPr>
        <w:spacing w:after="160" w:line="259" w:lineRule="auto"/>
      </w:pPr>
      <w:r>
        <w:t>Freight free on all orde</w:t>
      </w:r>
      <w:r w:rsidR="00AC26CA">
        <w:t>rs over $1000.00 + GST placed</w:t>
      </w:r>
      <w:r>
        <w:t xml:space="preserve"> online at </w:t>
      </w:r>
      <w:r w:rsidRPr="0043094F">
        <w:t>www.panelformeasyorder.co.nz</w:t>
      </w:r>
    </w:p>
    <w:p w:rsidR="00492647" w:rsidRPr="00A27D85" w:rsidRDefault="00492647" w:rsidP="00492647">
      <w:pPr>
        <w:pStyle w:val="Heading3"/>
      </w:pPr>
      <w:r>
        <w:t>Standard Freight Rates for small packages</w:t>
      </w:r>
    </w:p>
    <w:p w:rsidR="00492647" w:rsidRDefault="00492647" w:rsidP="00492647">
      <w:pPr>
        <w:pStyle w:val="ListParagraph"/>
        <w:numPr>
          <w:ilvl w:val="0"/>
          <w:numId w:val="1"/>
        </w:numPr>
        <w:spacing w:after="160" w:line="259" w:lineRule="auto"/>
      </w:pPr>
      <w:r>
        <w:t>Under 10kg: $20.00 + GST</w:t>
      </w:r>
    </w:p>
    <w:p w:rsidR="00492647" w:rsidRDefault="00492647" w:rsidP="00492647">
      <w:pPr>
        <w:pStyle w:val="ListParagraph"/>
        <w:numPr>
          <w:ilvl w:val="0"/>
          <w:numId w:val="1"/>
        </w:numPr>
        <w:spacing w:after="160" w:line="259" w:lineRule="auto"/>
      </w:pPr>
      <w:r>
        <w:t>Under 25kg: $30.00 + GST</w:t>
      </w:r>
    </w:p>
    <w:p w:rsidR="00492647" w:rsidRDefault="00492647" w:rsidP="00492647">
      <w:pPr>
        <w:pStyle w:val="ListParagraph"/>
        <w:numPr>
          <w:ilvl w:val="0"/>
          <w:numId w:val="1"/>
        </w:numPr>
        <w:spacing w:after="160" w:line="259" w:lineRule="auto"/>
      </w:pPr>
      <w:r>
        <w:t>Over 25kg: dependent on size, weight and location</w:t>
      </w:r>
    </w:p>
    <w:p w:rsidR="00492647" w:rsidRPr="00A27D85" w:rsidRDefault="00492647" w:rsidP="00492647">
      <w:pPr>
        <w:pStyle w:val="Heading3"/>
      </w:pPr>
      <w:r>
        <w:t>Overnight Courier Rates</w:t>
      </w:r>
    </w:p>
    <w:p w:rsidR="00492647" w:rsidRDefault="00492647" w:rsidP="00492647">
      <w:pPr>
        <w:pStyle w:val="ListParagraph"/>
        <w:numPr>
          <w:ilvl w:val="0"/>
          <w:numId w:val="2"/>
        </w:numPr>
        <w:spacing w:after="160" w:line="259" w:lineRule="auto"/>
      </w:pPr>
      <w:r>
        <w:t>South Island under 9kg: $25.00 + GST</w:t>
      </w:r>
    </w:p>
    <w:p w:rsidR="00492647" w:rsidRDefault="00492647" w:rsidP="00492647">
      <w:pPr>
        <w:pStyle w:val="ListParagraph"/>
        <w:numPr>
          <w:ilvl w:val="0"/>
          <w:numId w:val="2"/>
        </w:numPr>
        <w:spacing w:after="160" w:line="259" w:lineRule="auto"/>
      </w:pPr>
      <w:r>
        <w:t>North Island under 9kg: $40.00 + GST</w:t>
      </w:r>
    </w:p>
    <w:p w:rsidR="00492647" w:rsidRPr="0043094F" w:rsidRDefault="00492647" w:rsidP="00492647">
      <w:pPr>
        <w:pStyle w:val="Heading3"/>
      </w:pPr>
      <w:r>
        <w:t>Approximate Freight Rates to Panelform Zones:</w:t>
      </w:r>
    </w:p>
    <w:p w:rsidR="00492647" w:rsidRPr="0043094F" w:rsidRDefault="00492647" w:rsidP="00492647">
      <w:r>
        <w:t>For Zone 1 Customers, freight is free on all orders of 10 items or more.</w:t>
      </w:r>
    </w:p>
    <w:p w:rsidR="00492647" w:rsidRPr="004F673C" w:rsidRDefault="00492647" w:rsidP="00492647"/>
    <w:tbl>
      <w:tblPr>
        <w:tblStyle w:val="TableGrid"/>
        <w:tblW w:w="10263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106"/>
        <w:gridCol w:w="1219"/>
        <w:gridCol w:w="1219"/>
        <w:gridCol w:w="1219"/>
        <w:gridCol w:w="1219"/>
        <w:gridCol w:w="1219"/>
        <w:gridCol w:w="1219"/>
      </w:tblGrid>
      <w:tr w:rsidR="00492647" w:rsidTr="00773423">
        <w:tc>
          <w:tcPr>
            <w:tcW w:w="851" w:type="dxa"/>
            <w:vAlign w:val="center"/>
          </w:tcPr>
          <w:p w:rsidR="00492647" w:rsidRDefault="00492647" w:rsidP="00773423">
            <w:pPr>
              <w:spacing w:after="160" w:line="259" w:lineRule="auto"/>
            </w:pPr>
          </w:p>
        </w:tc>
        <w:tc>
          <w:tcPr>
            <w:tcW w:w="992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26-50kg</w:t>
            </w:r>
          </w:p>
        </w:tc>
        <w:tc>
          <w:tcPr>
            <w:tcW w:w="1106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51-100kg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101-150kg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151-200kg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201-300kg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301-400kg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401-500kg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501-600kg</w:t>
            </w:r>
          </w:p>
        </w:tc>
      </w:tr>
      <w:tr w:rsidR="00492647" w:rsidTr="00773423">
        <w:tc>
          <w:tcPr>
            <w:tcW w:w="851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Zone 2</w:t>
            </w:r>
          </w:p>
        </w:tc>
        <w:tc>
          <w:tcPr>
            <w:tcW w:w="992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$55</w:t>
            </w:r>
          </w:p>
        </w:tc>
        <w:tc>
          <w:tcPr>
            <w:tcW w:w="1106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$30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$75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$85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$105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$125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$145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$165</w:t>
            </w:r>
          </w:p>
        </w:tc>
      </w:tr>
      <w:tr w:rsidR="00492647" w:rsidTr="00773423">
        <w:tc>
          <w:tcPr>
            <w:tcW w:w="851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Zone 3</w:t>
            </w:r>
          </w:p>
        </w:tc>
        <w:tc>
          <w:tcPr>
            <w:tcW w:w="992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$55</w:t>
            </w:r>
          </w:p>
        </w:tc>
        <w:tc>
          <w:tcPr>
            <w:tcW w:w="1106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$70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$85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$100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$130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$160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$190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$215</w:t>
            </w:r>
          </w:p>
        </w:tc>
      </w:tr>
      <w:tr w:rsidR="00492647" w:rsidTr="00773423">
        <w:tc>
          <w:tcPr>
            <w:tcW w:w="851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Zone 4</w:t>
            </w:r>
          </w:p>
        </w:tc>
        <w:tc>
          <w:tcPr>
            <w:tcW w:w="992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$30</w:t>
            </w:r>
          </w:p>
        </w:tc>
        <w:tc>
          <w:tcPr>
            <w:tcW w:w="1106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$80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$100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$120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$155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$195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$230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$270</w:t>
            </w:r>
          </w:p>
        </w:tc>
      </w:tr>
      <w:tr w:rsidR="00492647" w:rsidTr="00773423">
        <w:tc>
          <w:tcPr>
            <w:tcW w:w="851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Zone 5</w:t>
            </w:r>
          </w:p>
        </w:tc>
        <w:tc>
          <w:tcPr>
            <w:tcW w:w="992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$65</w:t>
            </w:r>
          </w:p>
        </w:tc>
        <w:tc>
          <w:tcPr>
            <w:tcW w:w="1106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$85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$105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$125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$170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$210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$250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$295</w:t>
            </w:r>
          </w:p>
        </w:tc>
      </w:tr>
      <w:tr w:rsidR="00492647" w:rsidTr="00773423">
        <w:tc>
          <w:tcPr>
            <w:tcW w:w="851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Zone 6</w:t>
            </w:r>
          </w:p>
        </w:tc>
        <w:tc>
          <w:tcPr>
            <w:tcW w:w="992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$70</w:t>
            </w:r>
          </w:p>
        </w:tc>
        <w:tc>
          <w:tcPr>
            <w:tcW w:w="1106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$100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$130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$155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$210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$270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$325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$380</w:t>
            </w:r>
          </w:p>
        </w:tc>
      </w:tr>
      <w:tr w:rsidR="00492647" w:rsidTr="00773423">
        <w:tc>
          <w:tcPr>
            <w:tcW w:w="851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Zone 7</w:t>
            </w:r>
          </w:p>
        </w:tc>
        <w:tc>
          <w:tcPr>
            <w:tcW w:w="992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$120</w:t>
            </w:r>
          </w:p>
        </w:tc>
        <w:tc>
          <w:tcPr>
            <w:tcW w:w="1106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$165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$220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$250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$330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$405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$475</w:t>
            </w:r>
          </w:p>
        </w:tc>
        <w:tc>
          <w:tcPr>
            <w:tcW w:w="1219" w:type="dxa"/>
            <w:vAlign w:val="center"/>
          </w:tcPr>
          <w:p w:rsidR="00492647" w:rsidRDefault="00492647" w:rsidP="00773423">
            <w:pPr>
              <w:spacing w:after="160" w:line="259" w:lineRule="auto"/>
            </w:pPr>
            <w:r>
              <w:t>$550</w:t>
            </w:r>
          </w:p>
        </w:tc>
      </w:tr>
    </w:tbl>
    <w:p w:rsidR="00492647" w:rsidRDefault="00492647" w:rsidP="00492647">
      <w:pPr>
        <w:spacing w:after="160" w:line="259" w:lineRule="auto"/>
      </w:pPr>
    </w:p>
    <w:p w:rsidR="00492647" w:rsidRPr="00492647" w:rsidRDefault="00492647" w:rsidP="00492647">
      <w:pPr>
        <w:pStyle w:val="Heading3"/>
      </w:pPr>
      <w:r w:rsidRPr="00492647">
        <w:t>Panelform Zones</w:t>
      </w:r>
    </w:p>
    <w:p w:rsidR="00492647" w:rsidRDefault="00492647" w:rsidP="00492647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Christchurch, </w:t>
      </w:r>
      <w:proofErr w:type="spellStart"/>
      <w:r>
        <w:t>Kaiapoi</w:t>
      </w:r>
      <w:proofErr w:type="spellEnd"/>
      <w:r>
        <w:t xml:space="preserve">, Lincoln, </w:t>
      </w:r>
      <w:proofErr w:type="spellStart"/>
      <w:r>
        <w:t>Prebbleton</w:t>
      </w:r>
      <w:proofErr w:type="spellEnd"/>
      <w:r>
        <w:t>, Rangiora, Rolleston, West Melton, Woodend</w:t>
      </w:r>
    </w:p>
    <w:p w:rsidR="00492647" w:rsidRDefault="00492647" w:rsidP="00492647">
      <w:pPr>
        <w:pStyle w:val="ListParagraph"/>
        <w:numPr>
          <w:ilvl w:val="0"/>
          <w:numId w:val="3"/>
        </w:numPr>
        <w:spacing w:after="160" w:line="259" w:lineRule="auto"/>
      </w:pPr>
      <w:r>
        <w:t>Ashburton, Darfield, Dunedin 1*, Methven, Oamaru, Timaru</w:t>
      </w:r>
    </w:p>
    <w:p w:rsidR="00492647" w:rsidRDefault="00492647" w:rsidP="00492647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Blenheim, Dunedin 2 &amp; 3, Greymouth, </w:t>
      </w:r>
      <w:proofErr w:type="spellStart"/>
      <w:r>
        <w:t>Hokitika</w:t>
      </w:r>
      <w:proofErr w:type="spellEnd"/>
      <w:r>
        <w:t xml:space="preserve">, Invercargill, </w:t>
      </w:r>
      <w:proofErr w:type="spellStart"/>
      <w:r>
        <w:t>Kaikoura</w:t>
      </w:r>
      <w:proofErr w:type="spellEnd"/>
      <w:r>
        <w:t xml:space="preserve">, </w:t>
      </w:r>
      <w:proofErr w:type="spellStart"/>
      <w:r>
        <w:t>Mosgiel</w:t>
      </w:r>
      <w:proofErr w:type="spellEnd"/>
      <w:r>
        <w:t>, Nelson</w:t>
      </w:r>
    </w:p>
    <w:p w:rsidR="00492647" w:rsidRDefault="00492647" w:rsidP="00492647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Auckland 1, 2 &amp; 3*, Balclutha, Cromwell, Gore, Hamilton 1*, Levin, Masterton, Palmerston North, </w:t>
      </w:r>
      <w:proofErr w:type="spellStart"/>
      <w:r>
        <w:t>Picton</w:t>
      </w:r>
      <w:proofErr w:type="spellEnd"/>
      <w:r>
        <w:t>, Queenstown, Thames, Wanaka, Wellington 1, 2 &amp; 3*, Westport</w:t>
      </w:r>
    </w:p>
    <w:p w:rsidR="00492647" w:rsidRDefault="00492647" w:rsidP="00492647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Hastings, Havelock North, </w:t>
      </w:r>
      <w:proofErr w:type="spellStart"/>
      <w:r>
        <w:t>Hawera</w:t>
      </w:r>
      <w:proofErr w:type="spellEnd"/>
      <w:r>
        <w:t>, Mt Maunganui, Napier, New Plymouth, Rotorua, Tauranga, Upper Hutt, Wanganui, Whangarei</w:t>
      </w:r>
    </w:p>
    <w:p w:rsidR="00492647" w:rsidRDefault="00492647" w:rsidP="00492647">
      <w:pPr>
        <w:pStyle w:val="ListParagraph"/>
        <w:numPr>
          <w:ilvl w:val="0"/>
          <w:numId w:val="3"/>
        </w:numPr>
        <w:spacing w:after="160" w:line="259" w:lineRule="auto"/>
      </w:pPr>
      <w:r>
        <w:t xml:space="preserve">Gisborne, Alexandra, </w:t>
      </w:r>
      <w:proofErr w:type="spellStart"/>
      <w:r>
        <w:t>Dargaville</w:t>
      </w:r>
      <w:proofErr w:type="spellEnd"/>
      <w:r>
        <w:t xml:space="preserve">, Huntly, </w:t>
      </w:r>
      <w:proofErr w:type="spellStart"/>
      <w:r>
        <w:t>Kaitaia</w:t>
      </w:r>
      <w:proofErr w:type="spellEnd"/>
      <w:r>
        <w:t xml:space="preserve">, </w:t>
      </w:r>
      <w:proofErr w:type="spellStart"/>
      <w:r>
        <w:t>Kerikeri</w:t>
      </w:r>
      <w:proofErr w:type="spellEnd"/>
      <w:r>
        <w:t xml:space="preserve">, </w:t>
      </w:r>
      <w:proofErr w:type="spellStart"/>
      <w:r>
        <w:t>Motueka</w:t>
      </w:r>
      <w:proofErr w:type="spellEnd"/>
      <w:r>
        <w:t xml:space="preserve">, Paraparaumu, Pukekohe, Taupo, Te </w:t>
      </w:r>
      <w:proofErr w:type="spellStart"/>
      <w:r>
        <w:t>Anau</w:t>
      </w:r>
      <w:proofErr w:type="spellEnd"/>
      <w:r>
        <w:t xml:space="preserve">, Te Awamutu, </w:t>
      </w:r>
      <w:proofErr w:type="spellStart"/>
      <w:r>
        <w:t>Warkworth</w:t>
      </w:r>
      <w:proofErr w:type="spellEnd"/>
      <w:r>
        <w:t>, Whakatane</w:t>
      </w:r>
    </w:p>
    <w:p w:rsidR="00492647" w:rsidRDefault="00492647" w:rsidP="00492647">
      <w:pPr>
        <w:pStyle w:val="ListParagraph"/>
        <w:numPr>
          <w:ilvl w:val="0"/>
          <w:numId w:val="3"/>
        </w:numPr>
        <w:spacing w:after="160" w:line="259" w:lineRule="auto"/>
      </w:pPr>
      <w:proofErr w:type="spellStart"/>
      <w:r>
        <w:t>Mangawhai</w:t>
      </w:r>
      <w:proofErr w:type="spellEnd"/>
      <w:r>
        <w:t xml:space="preserve">, </w:t>
      </w:r>
      <w:proofErr w:type="spellStart"/>
      <w:r>
        <w:t>Whangamata</w:t>
      </w:r>
      <w:proofErr w:type="spellEnd"/>
      <w:r>
        <w:t xml:space="preserve">, Waiheke Island, </w:t>
      </w:r>
      <w:proofErr w:type="spellStart"/>
      <w:r>
        <w:t>Whitianga</w:t>
      </w:r>
      <w:proofErr w:type="spellEnd"/>
    </w:p>
    <w:p w:rsidR="00492647" w:rsidRDefault="00492647" w:rsidP="00492647">
      <w:pPr>
        <w:spacing w:after="160" w:line="259" w:lineRule="auto"/>
      </w:pPr>
      <w:r>
        <w:t>*see index below for suburbs included</w:t>
      </w:r>
    </w:p>
    <w:p w:rsidR="00492647" w:rsidRDefault="00492647" w:rsidP="00492647">
      <w:pPr>
        <w:spacing w:after="160" w:line="259" w:lineRule="auto"/>
      </w:pPr>
    </w:p>
    <w:p w:rsidR="00492647" w:rsidRDefault="00492647" w:rsidP="00492647">
      <w:pPr>
        <w:spacing w:after="160" w:line="259" w:lineRule="auto"/>
      </w:pPr>
    </w:p>
    <w:p w:rsidR="00492647" w:rsidRDefault="00492647" w:rsidP="00492647">
      <w:pPr>
        <w:spacing w:after="160" w:line="259" w:lineRule="auto"/>
      </w:pPr>
    </w:p>
    <w:p w:rsidR="00DB3E1F" w:rsidRDefault="00DB3E1F" w:rsidP="00492647">
      <w:pPr>
        <w:pStyle w:val="Heading3"/>
      </w:pPr>
    </w:p>
    <w:p w:rsidR="00DB3E1F" w:rsidRDefault="00DB3E1F" w:rsidP="00492647">
      <w:pPr>
        <w:pStyle w:val="Heading3"/>
      </w:pPr>
    </w:p>
    <w:p w:rsidR="00DB3E1F" w:rsidRDefault="00DB3E1F" w:rsidP="00492647">
      <w:pPr>
        <w:pStyle w:val="Heading3"/>
      </w:pPr>
    </w:p>
    <w:p w:rsidR="00492647" w:rsidRDefault="00492647" w:rsidP="00492647">
      <w:pPr>
        <w:pStyle w:val="Heading3"/>
      </w:pPr>
      <w:bookmarkStart w:id="1" w:name="_GoBack"/>
      <w:bookmarkEnd w:id="1"/>
      <w:r>
        <w:t>Index:</w:t>
      </w:r>
    </w:p>
    <w:p w:rsidR="00492647" w:rsidRPr="00492647" w:rsidRDefault="00492647" w:rsidP="00492647"/>
    <w:p w:rsidR="00492647" w:rsidRPr="00492647" w:rsidRDefault="00492647" w:rsidP="00492647">
      <w:pPr>
        <w:spacing w:after="160" w:line="259" w:lineRule="auto"/>
        <w:rPr>
          <w:sz w:val="19"/>
          <w:szCs w:val="19"/>
        </w:rPr>
      </w:pPr>
      <w:r w:rsidRPr="00492647">
        <w:rPr>
          <w:sz w:val="19"/>
          <w:szCs w:val="19"/>
        </w:rPr>
        <w:t xml:space="preserve">Dunedin 1: Andersons Bay, Balaclava, </w:t>
      </w:r>
      <w:proofErr w:type="spellStart"/>
      <w:r w:rsidRPr="00492647">
        <w:rPr>
          <w:sz w:val="19"/>
          <w:szCs w:val="19"/>
        </w:rPr>
        <w:t>Belleknowes</w:t>
      </w:r>
      <w:proofErr w:type="spellEnd"/>
      <w:r w:rsidRPr="00492647">
        <w:rPr>
          <w:sz w:val="19"/>
          <w:szCs w:val="19"/>
        </w:rPr>
        <w:t xml:space="preserve">, Carlton Hill, </w:t>
      </w:r>
      <w:proofErr w:type="spellStart"/>
      <w:r w:rsidRPr="00492647">
        <w:rPr>
          <w:sz w:val="19"/>
          <w:szCs w:val="19"/>
        </w:rPr>
        <w:t>Caversham</w:t>
      </w:r>
      <w:proofErr w:type="spellEnd"/>
      <w:r w:rsidRPr="00492647">
        <w:rPr>
          <w:sz w:val="19"/>
          <w:szCs w:val="19"/>
        </w:rPr>
        <w:t xml:space="preserve">, City, Clyde Hill, </w:t>
      </w:r>
      <w:proofErr w:type="spellStart"/>
      <w:r w:rsidRPr="00492647">
        <w:rPr>
          <w:sz w:val="19"/>
          <w:szCs w:val="19"/>
        </w:rPr>
        <w:t>Corstorphine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Dalmore</w:t>
      </w:r>
      <w:proofErr w:type="spellEnd"/>
      <w:r w:rsidRPr="00492647">
        <w:rPr>
          <w:sz w:val="19"/>
          <w:szCs w:val="19"/>
        </w:rPr>
        <w:t xml:space="preserve">, Dunedin North, </w:t>
      </w:r>
      <w:proofErr w:type="spellStart"/>
      <w:r w:rsidRPr="00492647">
        <w:rPr>
          <w:sz w:val="19"/>
          <w:szCs w:val="19"/>
        </w:rPr>
        <w:t>Forbury</w:t>
      </w:r>
      <w:proofErr w:type="spellEnd"/>
      <w:r w:rsidRPr="00492647">
        <w:rPr>
          <w:sz w:val="19"/>
          <w:szCs w:val="19"/>
        </w:rPr>
        <w:t xml:space="preserve">, Highgate, Hillside, </w:t>
      </w:r>
      <w:proofErr w:type="spellStart"/>
      <w:r w:rsidRPr="00492647">
        <w:rPr>
          <w:sz w:val="19"/>
          <w:szCs w:val="19"/>
        </w:rPr>
        <w:t>Kenmure</w:t>
      </w:r>
      <w:proofErr w:type="spellEnd"/>
      <w:r w:rsidRPr="00492647">
        <w:rPr>
          <w:sz w:val="19"/>
          <w:szCs w:val="19"/>
        </w:rPr>
        <w:t xml:space="preserve">, Kensington, Kew, </w:t>
      </w:r>
      <w:proofErr w:type="spellStart"/>
      <w:r w:rsidRPr="00492647">
        <w:rPr>
          <w:sz w:val="19"/>
          <w:szCs w:val="19"/>
        </w:rPr>
        <w:t>Liberton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Littlebourne</w:t>
      </w:r>
      <w:proofErr w:type="spellEnd"/>
      <w:r w:rsidRPr="00492647">
        <w:rPr>
          <w:sz w:val="19"/>
          <w:szCs w:val="19"/>
        </w:rPr>
        <w:t xml:space="preserve">, Maori Hill, Maryhill, Mornington, Musselburgh, Ocean Grove, Roslyn, </w:t>
      </w:r>
      <w:proofErr w:type="spellStart"/>
      <w:r w:rsidRPr="00492647">
        <w:rPr>
          <w:sz w:val="19"/>
          <w:szCs w:val="19"/>
        </w:rPr>
        <w:t>Shiel</w:t>
      </w:r>
      <w:proofErr w:type="spellEnd"/>
      <w:r w:rsidRPr="00492647">
        <w:rPr>
          <w:sz w:val="19"/>
          <w:szCs w:val="19"/>
        </w:rPr>
        <w:t xml:space="preserve"> Hill, South Dunedin, St Clair, St Kilda, St </w:t>
      </w:r>
      <w:proofErr w:type="spellStart"/>
      <w:r w:rsidRPr="00492647">
        <w:rPr>
          <w:sz w:val="19"/>
          <w:szCs w:val="19"/>
        </w:rPr>
        <w:t>Ronans</w:t>
      </w:r>
      <w:proofErr w:type="spellEnd"/>
      <w:r w:rsidRPr="00492647">
        <w:rPr>
          <w:sz w:val="19"/>
          <w:szCs w:val="19"/>
        </w:rPr>
        <w:t xml:space="preserve">, Sunshine, Tainui, The Cove, </w:t>
      </w:r>
      <w:proofErr w:type="spellStart"/>
      <w:r w:rsidRPr="00492647">
        <w:rPr>
          <w:sz w:val="19"/>
          <w:szCs w:val="19"/>
        </w:rPr>
        <w:t>Tomohawk</w:t>
      </w:r>
      <w:proofErr w:type="spellEnd"/>
      <w:r w:rsidRPr="00492647">
        <w:rPr>
          <w:sz w:val="19"/>
          <w:szCs w:val="19"/>
        </w:rPr>
        <w:t xml:space="preserve"> Beach, Vauxhall, Waverley, </w:t>
      </w:r>
      <w:proofErr w:type="spellStart"/>
      <w:r w:rsidRPr="00492647">
        <w:rPr>
          <w:sz w:val="19"/>
          <w:szCs w:val="19"/>
        </w:rPr>
        <w:t>Woodhaugh</w:t>
      </w:r>
      <w:proofErr w:type="spellEnd"/>
      <w:r w:rsidRPr="00492647">
        <w:rPr>
          <w:sz w:val="19"/>
          <w:szCs w:val="19"/>
        </w:rPr>
        <w:t>.</w:t>
      </w:r>
    </w:p>
    <w:p w:rsidR="00492647" w:rsidRPr="00492647" w:rsidRDefault="00492647" w:rsidP="00492647">
      <w:pPr>
        <w:spacing w:after="160" w:line="259" w:lineRule="auto"/>
        <w:rPr>
          <w:sz w:val="19"/>
          <w:szCs w:val="19"/>
        </w:rPr>
      </w:pPr>
      <w:r w:rsidRPr="00492647">
        <w:rPr>
          <w:sz w:val="19"/>
          <w:szCs w:val="19"/>
        </w:rPr>
        <w:t xml:space="preserve">Dunedin 2: Abbotsford, Abbots Hill, </w:t>
      </w:r>
      <w:proofErr w:type="spellStart"/>
      <w:r w:rsidRPr="00492647">
        <w:rPr>
          <w:sz w:val="19"/>
          <w:szCs w:val="19"/>
        </w:rPr>
        <w:t>Balmacewen</w:t>
      </w:r>
      <w:proofErr w:type="spellEnd"/>
      <w:r w:rsidRPr="00492647">
        <w:rPr>
          <w:sz w:val="19"/>
          <w:szCs w:val="19"/>
        </w:rPr>
        <w:t xml:space="preserve">, Blackhead, Blanket Bay, Bradford, Broad Bay, Brockville, Burkes, Burnside, Chain Hills, </w:t>
      </w:r>
      <w:proofErr w:type="spellStart"/>
      <w:r w:rsidRPr="00492647">
        <w:rPr>
          <w:sz w:val="19"/>
          <w:szCs w:val="19"/>
        </w:rPr>
        <w:t>Colinswood</w:t>
      </w:r>
      <w:proofErr w:type="spellEnd"/>
      <w:r w:rsidRPr="00492647">
        <w:rPr>
          <w:sz w:val="19"/>
          <w:szCs w:val="19"/>
        </w:rPr>
        <w:t xml:space="preserve">, Company Bay, Concord, Fairfield, </w:t>
      </w:r>
      <w:proofErr w:type="spellStart"/>
      <w:r w:rsidRPr="00492647">
        <w:rPr>
          <w:sz w:val="19"/>
          <w:szCs w:val="19"/>
        </w:rPr>
        <w:t>Glenleith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Glenross</w:t>
      </w:r>
      <w:proofErr w:type="spellEnd"/>
      <w:r w:rsidRPr="00492647">
        <w:rPr>
          <w:sz w:val="19"/>
          <w:szCs w:val="19"/>
        </w:rPr>
        <w:t xml:space="preserve">, Green Island, Halfway Bush, Hawkesbury Bush, </w:t>
      </w:r>
      <w:proofErr w:type="spellStart"/>
      <w:r w:rsidRPr="00492647">
        <w:rPr>
          <w:sz w:val="19"/>
          <w:szCs w:val="19"/>
        </w:rPr>
        <w:t>Helensburgh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Highcliff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Janefield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Kaikorai</w:t>
      </w:r>
      <w:proofErr w:type="spellEnd"/>
      <w:r w:rsidRPr="00492647">
        <w:rPr>
          <w:sz w:val="19"/>
          <w:szCs w:val="19"/>
        </w:rPr>
        <w:t xml:space="preserve">, Leith Valley, Lookout Point, </w:t>
      </w:r>
      <w:proofErr w:type="spellStart"/>
      <w:r w:rsidRPr="00492647">
        <w:rPr>
          <w:sz w:val="19"/>
          <w:szCs w:val="19"/>
        </w:rPr>
        <w:t>Macandrew</w:t>
      </w:r>
      <w:proofErr w:type="spellEnd"/>
      <w:r w:rsidRPr="00492647">
        <w:rPr>
          <w:sz w:val="19"/>
          <w:szCs w:val="19"/>
        </w:rPr>
        <w:t xml:space="preserve"> Bay, Maia, </w:t>
      </w:r>
      <w:proofErr w:type="spellStart"/>
      <w:r w:rsidRPr="00492647">
        <w:rPr>
          <w:sz w:val="19"/>
          <w:szCs w:val="19"/>
        </w:rPr>
        <w:t>Normanby</w:t>
      </w:r>
      <w:proofErr w:type="spellEnd"/>
      <w:r w:rsidRPr="00492647">
        <w:rPr>
          <w:sz w:val="19"/>
          <w:szCs w:val="19"/>
        </w:rPr>
        <w:t xml:space="preserve">, North East Valley, North </w:t>
      </w:r>
      <w:proofErr w:type="spellStart"/>
      <w:r w:rsidRPr="00492647">
        <w:rPr>
          <w:sz w:val="19"/>
          <w:szCs w:val="19"/>
        </w:rPr>
        <w:t>Taieri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Opoho</w:t>
      </w:r>
      <w:proofErr w:type="spellEnd"/>
      <w:r w:rsidRPr="00492647">
        <w:rPr>
          <w:sz w:val="19"/>
          <w:szCs w:val="19"/>
        </w:rPr>
        <w:t xml:space="preserve">, Pidgeon Flat, Pine Hill, Ravensbourne, </w:t>
      </w:r>
      <w:proofErr w:type="spellStart"/>
      <w:r w:rsidRPr="00492647">
        <w:rPr>
          <w:sz w:val="19"/>
          <w:szCs w:val="19"/>
        </w:rPr>
        <w:t>Roseneath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Smails</w:t>
      </w:r>
      <w:proofErr w:type="spellEnd"/>
      <w:r w:rsidRPr="00492647">
        <w:rPr>
          <w:sz w:val="19"/>
          <w:szCs w:val="19"/>
        </w:rPr>
        <w:t xml:space="preserve"> Beach, St Leonards, Sunnyvale, </w:t>
      </w:r>
      <w:proofErr w:type="spellStart"/>
      <w:r w:rsidRPr="00492647">
        <w:rPr>
          <w:sz w:val="19"/>
          <w:szCs w:val="19"/>
        </w:rPr>
        <w:t>Wakari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Waldronville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Whare</w:t>
      </w:r>
      <w:proofErr w:type="spellEnd"/>
      <w:r w:rsidRPr="00492647">
        <w:rPr>
          <w:sz w:val="19"/>
          <w:szCs w:val="19"/>
        </w:rPr>
        <w:t xml:space="preserve"> Flat.</w:t>
      </w:r>
    </w:p>
    <w:p w:rsidR="00492647" w:rsidRPr="00492647" w:rsidRDefault="00492647" w:rsidP="00492647">
      <w:pPr>
        <w:spacing w:after="160" w:line="259" w:lineRule="auto"/>
        <w:rPr>
          <w:sz w:val="19"/>
          <w:szCs w:val="19"/>
        </w:rPr>
      </w:pPr>
      <w:r w:rsidRPr="00492647">
        <w:rPr>
          <w:sz w:val="19"/>
          <w:szCs w:val="19"/>
        </w:rPr>
        <w:t xml:space="preserve">Dunedin 3: Brighton, Careys Bay, Deborah Bay, East </w:t>
      </w:r>
      <w:proofErr w:type="spellStart"/>
      <w:r w:rsidRPr="00492647">
        <w:rPr>
          <w:sz w:val="19"/>
          <w:szCs w:val="19"/>
        </w:rPr>
        <w:t>Taieri</w:t>
      </w:r>
      <w:proofErr w:type="spellEnd"/>
      <w:r w:rsidRPr="00492647">
        <w:rPr>
          <w:sz w:val="19"/>
          <w:szCs w:val="19"/>
        </w:rPr>
        <w:t xml:space="preserve">, Evansdale, Harrington Point, Harwood, </w:t>
      </w:r>
      <w:proofErr w:type="spellStart"/>
      <w:r w:rsidRPr="00492647">
        <w:rPr>
          <w:sz w:val="19"/>
          <w:szCs w:val="19"/>
        </w:rPr>
        <w:t>Hoopers</w:t>
      </w:r>
      <w:proofErr w:type="spellEnd"/>
      <w:r w:rsidRPr="00492647">
        <w:rPr>
          <w:sz w:val="19"/>
          <w:szCs w:val="19"/>
        </w:rPr>
        <w:t xml:space="preserve"> Inlet, </w:t>
      </w:r>
      <w:proofErr w:type="spellStart"/>
      <w:r w:rsidRPr="00492647">
        <w:rPr>
          <w:sz w:val="19"/>
          <w:szCs w:val="19"/>
        </w:rPr>
        <w:t>Kinmont</w:t>
      </w:r>
      <w:proofErr w:type="spellEnd"/>
      <w:r w:rsidRPr="00492647">
        <w:rPr>
          <w:sz w:val="19"/>
          <w:szCs w:val="19"/>
        </w:rPr>
        <w:t xml:space="preserve"> Park, </w:t>
      </w:r>
      <w:proofErr w:type="spellStart"/>
      <w:r w:rsidRPr="00492647">
        <w:rPr>
          <w:sz w:val="19"/>
          <w:szCs w:val="19"/>
        </w:rPr>
        <w:t>Mosgiel</w:t>
      </w:r>
      <w:proofErr w:type="spellEnd"/>
      <w:r w:rsidRPr="00492647">
        <w:rPr>
          <w:sz w:val="19"/>
          <w:szCs w:val="19"/>
        </w:rPr>
        <w:t xml:space="preserve">, Ocean View, </w:t>
      </w:r>
      <w:proofErr w:type="spellStart"/>
      <w:r w:rsidRPr="00492647">
        <w:rPr>
          <w:sz w:val="19"/>
          <w:szCs w:val="19"/>
        </w:rPr>
        <w:t>Omimi</w:t>
      </w:r>
      <w:proofErr w:type="spellEnd"/>
      <w:r w:rsidRPr="00492647">
        <w:rPr>
          <w:sz w:val="19"/>
          <w:szCs w:val="19"/>
        </w:rPr>
        <w:t xml:space="preserve">, Osbourne Township, </w:t>
      </w:r>
      <w:proofErr w:type="spellStart"/>
      <w:r w:rsidRPr="00492647">
        <w:rPr>
          <w:sz w:val="19"/>
          <w:szCs w:val="19"/>
        </w:rPr>
        <w:t>Owhiro</w:t>
      </w:r>
      <w:proofErr w:type="spellEnd"/>
      <w:r w:rsidRPr="00492647">
        <w:rPr>
          <w:sz w:val="19"/>
          <w:szCs w:val="19"/>
        </w:rPr>
        <w:t xml:space="preserve">, Saddle Hill, </w:t>
      </w:r>
      <w:proofErr w:type="spellStart"/>
      <w:r w:rsidRPr="00492647">
        <w:rPr>
          <w:sz w:val="19"/>
          <w:szCs w:val="19"/>
        </w:rPr>
        <w:t>Sandymount</w:t>
      </w:r>
      <w:proofErr w:type="spellEnd"/>
      <w:r w:rsidRPr="00492647">
        <w:rPr>
          <w:sz w:val="19"/>
          <w:szCs w:val="19"/>
        </w:rPr>
        <w:t xml:space="preserve">, Sawyers Bay, </w:t>
      </w:r>
      <w:proofErr w:type="spellStart"/>
      <w:r w:rsidRPr="00492647">
        <w:rPr>
          <w:sz w:val="19"/>
          <w:szCs w:val="19"/>
        </w:rPr>
        <w:t>Taieri</w:t>
      </w:r>
      <w:proofErr w:type="spellEnd"/>
      <w:r w:rsidRPr="00492647">
        <w:rPr>
          <w:sz w:val="19"/>
          <w:szCs w:val="19"/>
        </w:rPr>
        <w:t xml:space="preserve"> Airport, </w:t>
      </w:r>
      <w:proofErr w:type="spellStart"/>
      <w:r w:rsidRPr="00492647">
        <w:rPr>
          <w:sz w:val="19"/>
          <w:szCs w:val="19"/>
        </w:rPr>
        <w:t>Waitati</w:t>
      </w:r>
      <w:proofErr w:type="spellEnd"/>
      <w:r w:rsidRPr="00492647">
        <w:rPr>
          <w:sz w:val="19"/>
          <w:szCs w:val="19"/>
        </w:rPr>
        <w:t xml:space="preserve">, Westwood, </w:t>
      </w:r>
      <w:proofErr w:type="spellStart"/>
      <w:r w:rsidRPr="00492647">
        <w:rPr>
          <w:sz w:val="19"/>
          <w:szCs w:val="19"/>
        </w:rPr>
        <w:t>Whyllies</w:t>
      </w:r>
      <w:proofErr w:type="spellEnd"/>
      <w:r w:rsidRPr="00492647">
        <w:rPr>
          <w:sz w:val="19"/>
          <w:szCs w:val="19"/>
        </w:rPr>
        <w:t xml:space="preserve"> Crossing, </w:t>
      </w:r>
      <w:proofErr w:type="spellStart"/>
      <w:r w:rsidRPr="00492647">
        <w:rPr>
          <w:sz w:val="19"/>
          <w:szCs w:val="19"/>
        </w:rPr>
        <w:t>Wingatui</w:t>
      </w:r>
      <w:proofErr w:type="spellEnd"/>
      <w:r w:rsidRPr="00492647">
        <w:rPr>
          <w:sz w:val="19"/>
          <w:szCs w:val="19"/>
        </w:rPr>
        <w:t>.</w:t>
      </w:r>
    </w:p>
    <w:p w:rsidR="00492647" w:rsidRPr="00492647" w:rsidRDefault="00492647" w:rsidP="00492647">
      <w:pPr>
        <w:spacing w:after="160" w:line="259" w:lineRule="auto"/>
        <w:rPr>
          <w:sz w:val="19"/>
          <w:szCs w:val="19"/>
        </w:rPr>
      </w:pPr>
      <w:r w:rsidRPr="00492647">
        <w:rPr>
          <w:sz w:val="19"/>
          <w:szCs w:val="19"/>
        </w:rPr>
        <w:t xml:space="preserve">Auckland 1: </w:t>
      </w:r>
      <w:proofErr w:type="spellStart"/>
      <w:r w:rsidRPr="00492647">
        <w:rPr>
          <w:sz w:val="19"/>
          <w:szCs w:val="19"/>
        </w:rPr>
        <w:t>Ellerslie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Greenlane</w:t>
      </w:r>
      <w:proofErr w:type="spellEnd"/>
      <w:r w:rsidRPr="00492647">
        <w:rPr>
          <w:sz w:val="19"/>
          <w:szCs w:val="19"/>
        </w:rPr>
        <w:t xml:space="preserve">, Middlemore, Mt Wellington, One Tree Hill, Onehunga, </w:t>
      </w:r>
      <w:proofErr w:type="spellStart"/>
      <w:r w:rsidRPr="00492647">
        <w:rPr>
          <w:sz w:val="19"/>
          <w:szCs w:val="19"/>
        </w:rPr>
        <w:t>Otahuhu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Panmure</w:t>
      </w:r>
      <w:proofErr w:type="spellEnd"/>
      <w:r w:rsidRPr="00492647">
        <w:rPr>
          <w:sz w:val="19"/>
          <w:szCs w:val="19"/>
        </w:rPr>
        <w:t xml:space="preserve">, Penrose, </w:t>
      </w:r>
      <w:proofErr w:type="spellStart"/>
      <w:r w:rsidRPr="00492647">
        <w:rPr>
          <w:sz w:val="19"/>
          <w:szCs w:val="19"/>
        </w:rPr>
        <w:t>Remuera</w:t>
      </w:r>
      <w:proofErr w:type="spellEnd"/>
      <w:r w:rsidRPr="00492647">
        <w:rPr>
          <w:sz w:val="19"/>
          <w:szCs w:val="19"/>
        </w:rPr>
        <w:t xml:space="preserve">, Royal Oak, Tamaki, Te </w:t>
      </w:r>
      <w:proofErr w:type="spellStart"/>
      <w:r w:rsidRPr="00492647">
        <w:rPr>
          <w:sz w:val="19"/>
          <w:szCs w:val="19"/>
        </w:rPr>
        <w:t>Papapa</w:t>
      </w:r>
      <w:proofErr w:type="spellEnd"/>
      <w:r w:rsidRPr="00492647">
        <w:rPr>
          <w:sz w:val="19"/>
          <w:szCs w:val="19"/>
        </w:rPr>
        <w:t>, Westfield.</w:t>
      </w:r>
    </w:p>
    <w:p w:rsidR="00492647" w:rsidRPr="00492647" w:rsidRDefault="00492647" w:rsidP="00492647">
      <w:pPr>
        <w:spacing w:after="160" w:line="259" w:lineRule="auto"/>
        <w:rPr>
          <w:sz w:val="19"/>
          <w:szCs w:val="19"/>
        </w:rPr>
      </w:pPr>
      <w:r w:rsidRPr="00492647">
        <w:rPr>
          <w:sz w:val="19"/>
          <w:szCs w:val="19"/>
        </w:rPr>
        <w:t xml:space="preserve">Auckland 2: Airport Oaks, Arch Hill, Auckland Airport, Auckland Wharf, Balmoral, Blockhouse Bay, Botany Downs, Burswood, City, </w:t>
      </w:r>
      <w:proofErr w:type="spellStart"/>
      <w:r w:rsidRPr="00492647">
        <w:rPr>
          <w:sz w:val="19"/>
          <w:szCs w:val="19"/>
        </w:rPr>
        <w:t>Dannemora</w:t>
      </w:r>
      <w:proofErr w:type="spellEnd"/>
      <w:r w:rsidRPr="00492647">
        <w:rPr>
          <w:sz w:val="19"/>
          <w:szCs w:val="19"/>
        </w:rPr>
        <w:t xml:space="preserve">, East Tamaki, Eden Terrace, Epsom, Farm Cove, </w:t>
      </w:r>
      <w:proofErr w:type="spellStart"/>
      <w:r w:rsidRPr="00492647">
        <w:rPr>
          <w:sz w:val="19"/>
          <w:szCs w:val="19"/>
        </w:rPr>
        <w:t>Favona</w:t>
      </w:r>
      <w:proofErr w:type="spellEnd"/>
      <w:r w:rsidRPr="00492647">
        <w:rPr>
          <w:sz w:val="19"/>
          <w:szCs w:val="19"/>
        </w:rPr>
        <w:t xml:space="preserve">, Flat Bush, Freemans Bay, Freyberg Wharf, Glen Innes, Goodwood Heights, Grafton, </w:t>
      </w:r>
      <w:proofErr w:type="spellStart"/>
      <w:r w:rsidRPr="00492647">
        <w:rPr>
          <w:sz w:val="19"/>
          <w:szCs w:val="19"/>
        </w:rPr>
        <w:t>Greenmount</w:t>
      </w:r>
      <w:proofErr w:type="spellEnd"/>
      <w:r w:rsidRPr="00492647">
        <w:rPr>
          <w:sz w:val="19"/>
          <w:szCs w:val="19"/>
        </w:rPr>
        <w:t xml:space="preserve">, Greenwoods Corner, Grey Lynn, Half Moon Bay, Herne Bay, </w:t>
      </w:r>
      <w:proofErr w:type="spellStart"/>
      <w:r w:rsidRPr="00492647">
        <w:rPr>
          <w:sz w:val="19"/>
          <w:szCs w:val="19"/>
        </w:rPr>
        <w:t>Highbrook</w:t>
      </w:r>
      <w:proofErr w:type="spellEnd"/>
      <w:r w:rsidRPr="00492647">
        <w:rPr>
          <w:sz w:val="19"/>
          <w:szCs w:val="19"/>
        </w:rPr>
        <w:t xml:space="preserve">, Highland Park, Hillsborough, Hunters Corner, </w:t>
      </w:r>
      <w:proofErr w:type="spellStart"/>
      <w:r w:rsidRPr="00492647">
        <w:rPr>
          <w:sz w:val="19"/>
          <w:szCs w:val="19"/>
        </w:rPr>
        <w:t>Ihumatao</w:t>
      </w:r>
      <w:proofErr w:type="spellEnd"/>
      <w:r w:rsidRPr="00492647">
        <w:rPr>
          <w:sz w:val="19"/>
          <w:szCs w:val="19"/>
        </w:rPr>
        <w:t xml:space="preserve">, Kingsland, </w:t>
      </w:r>
      <w:proofErr w:type="spellStart"/>
      <w:r w:rsidRPr="00492647">
        <w:rPr>
          <w:sz w:val="19"/>
          <w:szCs w:val="19"/>
        </w:rPr>
        <w:t>Lynfield</w:t>
      </w:r>
      <w:proofErr w:type="spellEnd"/>
      <w:r w:rsidRPr="00492647">
        <w:rPr>
          <w:sz w:val="19"/>
          <w:szCs w:val="19"/>
        </w:rPr>
        <w:t xml:space="preserve">, Mangere, Mangere Bridge, Manukau City, Manukau Heights, </w:t>
      </w:r>
      <w:proofErr w:type="spellStart"/>
      <w:r w:rsidRPr="00492647">
        <w:rPr>
          <w:sz w:val="19"/>
          <w:szCs w:val="19"/>
        </w:rPr>
        <w:t>Meadowbank</w:t>
      </w:r>
      <w:proofErr w:type="spellEnd"/>
      <w:r w:rsidRPr="00492647">
        <w:rPr>
          <w:sz w:val="19"/>
          <w:szCs w:val="19"/>
        </w:rPr>
        <w:t xml:space="preserve">, Morningside, Mt Albert, Mt Eden, Mt Roskill, Newmarket, Newton, </w:t>
      </w:r>
      <w:proofErr w:type="spellStart"/>
      <w:r w:rsidRPr="00492647">
        <w:rPr>
          <w:sz w:val="19"/>
          <w:szCs w:val="19"/>
        </w:rPr>
        <w:t>Orakei</w:t>
      </w:r>
      <w:proofErr w:type="spellEnd"/>
      <w:r w:rsidRPr="00492647">
        <w:rPr>
          <w:sz w:val="19"/>
          <w:szCs w:val="19"/>
        </w:rPr>
        <w:t xml:space="preserve">, Otara, </w:t>
      </w:r>
      <w:proofErr w:type="spellStart"/>
      <w:r w:rsidRPr="00492647">
        <w:rPr>
          <w:sz w:val="19"/>
          <w:szCs w:val="19"/>
        </w:rPr>
        <w:t>Owairaka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Pakuranga</w:t>
      </w:r>
      <w:proofErr w:type="spellEnd"/>
      <w:r w:rsidRPr="00492647">
        <w:rPr>
          <w:sz w:val="19"/>
          <w:szCs w:val="19"/>
        </w:rPr>
        <w:t xml:space="preserve">, Papatoetoe, Parnell, </w:t>
      </w:r>
      <w:proofErr w:type="spellStart"/>
      <w:r w:rsidRPr="00492647">
        <w:rPr>
          <w:sz w:val="19"/>
          <w:szCs w:val="19"/>
        </w:rPr>
        <w:t>Ponsonby</w:t>
      </w:r>
      <w:proofErr w:type="spellEnd"/>
      <w:r w:rsidRPr="00492647">
        <w:rPr>
          <w:sz w:val="19"/>
          <w:szCs w:val="19"/>
        </w:rPr>
        <w:t xml:space="preserve">, Pt England, </w:t>
      </w:r>
      <w:proofErr w:type="spellStart"/>
      <w:r w:rsidRPr="00492647">
        <w:rPr>
          <w:sz w:val="19"/>
          <w:szCs w:val="19"/>
        </w:rPr>
        <w:t>Puhinui</w:t>
      </w:r>
      <w:proofErr w:type="spellEnd"/>
      <w:r w:rsidRPr="00492647">
        <w:rPr>
          <w:sz w:val="19"/>
          <w:szCs w:val="19"/>
        </w:rPr>
        <w:t xml:space="preserve">, Sandringham, St Johns, St </w:t>
      </w:r>
      <w:proofErr w:type="spellStart"/>
      <w:r w:rsidRPr="00492647">
        <w:rPr>
          <w:sz w:val="19"/>
          <w:szCs w:val="19"/>
        </w:rPr>
        <w:t>Lukes</w:t>
      </w:r>
      <w:proofErr w:type="spellEnd"/>
      <w:r w:rsidRPr="00492647">
        <w:rPr>
          <w:sz w:val="19"/>
          <w:szCs w:val="19"/>
        </w:rPr>
        <w:t xml:space="preserve">, St Marys Bay, </w:t>
      </w:r>
      <w:proofErr w:type="spellStart"/>
      <w:r w:rsidRPr="00492647">
        <w:rPr>
          <w:sz w:val="19"/>
          <w:szCs w:val="19"/>
        </w:rPr>
        <w:t>Sunnyhills</w:t>
      </w:r>
      <w:proofErr w:type="spellEnd"/>
      <w:r w:rsidRPr="00492647">
        <w:rPr>
          <w:sz w:val="19"/>
          <w:szCs w:val="19"/>
        </w:rPr>
        <w:t xml:space="preserve">, Three Kings, Totara Heights, </w:t>
      </w:r>
      <w:proofErr w:type="spellStart"/>
      <w:r w:rsidRPr="00492647">
        <w:rPr>
          <w:sz w:val="19"/>
          <w:szCs w:val="19"/>
        </w:rPr>
        <w:t>Waikowhai</w:t>
      </w:r>
      <w:proofErr w:type="spellEnd"/>
      <w:r w:rsidRPr="00492647">
        <w:rPr>
          <w:sz w:val="19"/>
          <w:szCs w:val="19"/>
        </w:rPr>
        <w:t>, Western Springs, Westhaven, Wiri.</w:t>
      </w:r>
    </w:p>
    <w:p w:rsidR="00492647" w:rsidRPr="00492647" w:rsidRDefault="00492647" w:rsidP="00492647">
      <w:pPr>
        <w:spacing w:after="160" w:line="259" w:lineRule="auto"/>
        <w:rPr>
          <w:sz w:val="19"/>
          <w:szCs w:val="19"/>
        </w:rPr>
      </w:pPr>
      <w:r w:rsidRPr="00492647">
        <w:rPr>
          <w:sz w:val="19"/>
          <w:szCs w:val="19"/>
        </w:rPr>
        <w:t xml:space="preserve">Auckland 3: Albany, Avondale, Bayswater, Belmont, Birkdale, Birkenhead, Birkenhead South, Browns Bay, </w:t>
      </w:r>
      <w:proofErr w:type="spellStart"/>
      <w:r w:rsidRPr="00492647">
        <w:rPr>
          <w:sz w:val="19"/>
          <w:szCs w:val="19"/>
        </w:rPr>
        <w:t>Bucklands</w:t>
      </w:r>
      <w:proofErr w:type="spellEnd"/>
      <w:r w:rsidRPr="00492647">
        <w:rPr>
          <w:sz w:val="19"/>
          <w:szCs w:val="19"/>
        </w:rPr>
        <w:t xml:space="preserve"> Beach, Campbells Bay, Castor Bay, </w:t>
      </w:r>
      <w:proofErr w:type="spellStart"/>
      <w:r w:rsidRPr="00492647">
        <w:rPr>
          <w:sz w:val="19"/>
          <w:szCs w:val="19"/>
        </w:rPr>
        <w:t>Clendon</w:t>
      </w:r>
      <w:proofErr w:type="spellEnd"/>
      <w:r w:rsidRPr="00492647">
        <w:rPr>
          <w:sz w:val="19"/>
          <w:szCs w:val="19"/>
        </w:rPr>
        <w:t xml:space="preserve">, Clover Park, Cockle Bay, Conifer Grove, Drury, Eastern Beach, Edmonton, Forrest Hill, Glen Eden, </w:t>
      </w:r>
      <w:proofErr w:type="spellStart"/>
      <w:r w:rsidRPr="00492647">
        <w:rPr>
          <w:sz w:val="19"/>
          <w:szCs w:val="19"/>
        </w:rPr>
        <w:t>Glendene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Glendowie</w:t>
      </w:r>
      <w:proofErr w:type="spellEnd"/>
      <w:r w:rsidRPr="00492647">
        <w:rPr>
          <w:sz w:val="19"/>
          <w:szCs w:val="19"/>
        </w:rPr>
        <w:t xml:space="preserve">, Glenfield, Green Bay, Hauraki, Henderson, Highbury, Hillcrest, </w:t>
      </w:r>
      <w:proofErr w:type="spellStart"/>
      <w:r w:rsidRPr="00492647">
        <w:rPr>
          <w:sz w:val="19"/>
          <w:szCs w:val="19"/>
        </w:rPr>
        <w:t>Howick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Kelston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Kohimarama</w:t>
      </w:r>
      <w:proofErr w:type="spellEnd"/>
      <w:r w:rsidRPr="00492647">
        <w:rPr>
          <w:sz w:val="19"/>
          <w:szCs w:val="19"/>
        </w:rPr>
        <w:t xml:space="preserve">, Lincoln, </w:t>
      </w:r>
      <w:proofErr w:type="spellStart"/>
      <w:r w:rsidRPr="00492647">
        <w:rPr>
          <w:sz w:val="19"/>
          <w:szCs w:val="19"/>
        </w:rPr>
        <w:t>Mairangi</w:t>
      </w:r>
      <w:proofErr w:type="spellEnd"/>
      <w:r w:rsidRPr="00492647">
        <w:rPr>
          <w:sz w:val="19"/>
          <w:szCs w:val="19"/>
        </w:rPr>
        <w:t xml:space="preserve"> Bay, </w:t>
      </w:r>
      <w:proofErr w:type="spellStart"/>
      <w:r w:rsidRPr="00492647">
        <w:rPr>
          <w:sz w:val="19"/>
          <w:szCs w:val="19"/>
        </w:rPr>
        <w:t>Manurewa</w:t>
      </w:r>
      <w:proofErr w:type="spellEnd"/>
      <w:r w:rsidRPr="00492647">
        <w:rPr>
          <w:sz w:val="19"/>
          <w:szCs w:val="19"/>
        </w:rPr>
        <w:t xml:space="preserve">, Milford, Mission Bay, Murrays Bay, New Lynn, North Harbour, Northcote, </w:t>
      </w:r>
      <w:proofErr w:type="spellStart"/>
      <w:r w:rsidRPr="00492647">
        <w:rPr>
          <w:sz w:val="19"/>
          <w:szCs w:val="19"/>
        </w:rPr>
        <w:t>Opaheke</w:t>
      </w:r>
      <w:proofErr w:type="spellEnd"/>
      <w:r w:rsidRPr="00492647">
        <w:rPr>
          <w:sz w:val="19"/>
          <w:szCs w:val="19"/>
        </w:rPr>
        <w:t xml:space="preserve">, Papakura, Pasadena, Pinehill, Pt Chevalier, Rosebank, Rosedale, Rothesay Bay, Royal Heights, St </w:t>
      </w:r>
      <w:proofErr w:type="spellStart"/>
      <w:r w:rsidRPr="00492647">
        <w:rPr>
          <w:sz w:val="19"/>
          <w:szCs w:val="19"/>
        </w:rPr>
        <w:t>Heliers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Sunnynook</w:t>
      </w:r>
      <w:proofErr w:type="spellEnd"/>
      <w:r w:rsidRPr="00492647">
        <w:rPr>
          <w:sz w:val="19"/>
          <w:szCs w:val="19"/>
        </w:rPr>
        <w:t xml:space="preserve">, Sunnyvale, Takanini, Takapuna, Te </w:t>
      </w:r>
      <w:proofErr w:type="spellStart"/>
      <w:r w:rsidRPr="00492647">
        <w:rPr>
          <w:sz w:val="19"/>
          <w:szCs w:val="19"/>
        </w:rPr>
        <w:t>Atatu</w:t>
      </w:r>
      <w:proofErr w:type="spellEnd"/>
      <w:r w:rsidRPr="00492647">
        <w:rPr>
          <w:sz w:val="19"/>
          <w:szCs w:val="19"/>
        </w:rPr>
        <w:t xml:space="preserve">, Wairau Park, Waterview, Wattle Downs, </w:t>
      </w:r>
      <w:proofErr w:type="spellStart"/>
      <w:r w:rsidRPr="00492647">
        <w:rPr>
          <w:sz w:val="19"/>
          <w:szCs w:val="19"/>
        </w:rPr>
        <w:t>Westmere</w:t>
      </w:r>
      <w:proofErr w:type="spellEnd"/>
      <w:r w:rsidRPr="00492647">
        <w:rPr>
          <w:sz w:val="19"/>
          <w:szCs w:val="19"/>
        </w:rPr>
        <w:t>, Weymouth.</w:t>
      </w:r>
    </w:p>
    <w:p w:rsidR="00492647" w:rsidRPr="00492647" w:rsidRDefault="00492647" w:rsidP="00492647">
      <w:pPr>
        <w:spacing w:after="160" w:line="259" w:lineRule="auto"/>
        <w:rPr>
          <w:sz w:val="19"/>
          <w:szCs w:val="19"/>
        </w:rPr>
      </w:pPr>
      <w:r w:rsidRPr="00492647">
        <w:rPr>
          <w:sz w:val="19"/>
          <w:szCs w:val="19"/>
        </w:rPr>
        <w:t xml:space="preserve">Hamilton 1: Avalon, </w:t>
      </w:r>
      <w:proofErr w:type="spellStart"/>
      <w:r w:rsidRPr="00492647">
        <w:rPr>
          <w:sz w:val="19"/>
          <w:szCs w:val="19"/>
        </w:rPr>
        <w:t>Bankwood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Beerescourt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Burbush</w:t>
      </w:r>
      <w:proofErr w:type="spellEnd"/>
      <w:r w:rsidRPr="00492647">
        <w:rPr>
          <w:sz w:val="19"/>
          <w:szCs w:val="19"/>
        </w:rPr>
        <w:t xml:space="preserve">, City, </w:t>
      </w:r>
      <w:proofErr w:type="spellStart"/>
      <w:r w:rsidRPr="00492647">
        <w:rPr>
          <w:sz w:val="19"/>
          <w:szCs w:val="19"/>
        </w:rPr>
        <w:t>Dinsdale</w:t>
      </w:r>
      <w:proofErr w:type="spellEnd"/>
      <w:r w:rsidRPr="00492647">
        <w:rPr>
          <w:sz w:val="19"/>
          <w:szCs w:val="19"/>
        </w:rPr>
        <w:t xml:space="preserve">, Forest Lake, Frankton, </w:t>
      </w:r>
      <w:proofErr w:type="spellStart"/>
      <w:r w:rsidRPr="00492647">
        <w:rPr>
          <w:sz w:val="19"/>
          <w:szCs w:val="19"/>
        </w:rPr>
        <w:t>Maeroa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Nawton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Pukete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Rotokauri</w:t>
      </w:r>
      <w:proofErr w:type="spellEnd"/>
      <w:r w:rsidRPr="00492647">
        <w:rPr>
          <w:sz w:val="19"/>
          <w:szCs w:val="19"/>
        </w:rPr>
        <w:t xml:space="preserve">, St Andrews, Te Rapa, </w:t>
      </w:r>
      <w:proofErr w:type="spellStart"/>
      <w:r w:rsidRPr="00492647">
        <w:rPr>
          <w:sz w:val="19"/>
          <w:szCs w:val="19"/>
        </w:rPr>
        <w:t>Whitiora</w:t>
      </w:r>
      <w:proofErr w:type="spellEnd"/>
      <w:r w:rsidRPr="00492647">
        <w:rPr>
          <w:sz w:val="19"/>
          <w:szCs w:val="19"/>
        </w:rPr>
        <w:t>.</w:t>
      </w:r>
    </w:p>
    <w:p w:rsidR="00492647" w:rsidRPr="00492647" w:rsidRDefault="00492647" w:rsidP="00492647">
      <w:pPr>
        <w:spacing w:after="160" w:line="259" w:lineRule="auto"/>
        <w:rPr>
          <w:sz w:val="19"/>
          <w:szCs w:val="19"/>
        </w:rPr>
      </w:pPr>
      <w:r w:rsidRPr="00492647">
        <w:rPr>
          <w:sz w:val="19"/>
          <w:szCs w:val="19"/>
        </w:rPr>
        <w:t xml:space="preserve">Wellington 1: </w:t>
      </w:r>
      <w:proofErr w:type="spellStart"/>
      <w:r w:rsidRPr="00492647">
        <w:rPr>
          <w:sz w:val="19"/>
          <w:szCs w:val="19"/>
        </w:rPr>
        <w:t>Aro</w:t>
      </w:r>
      <w:proofErr w:type="spellEnd"/>
      <w:r w:rsidRPr="00492647">
        <w:rPr>
          <w:sz w:val="19"/>
          <w:szCs w:val="19"/>
        </w:rPr>
        <w:t xml:space="preserve"> Valley, Brooklyn, City, Highbury, </w:t>
      </w:r>
      <w:proofErr w:type="spellStart"/>
      <w:r w:rsidRPr="00492647">
        <w:rPr>
          <w:sz w:val="19"/>
          <w:szCs w:val="19"/>
        </w:rPr>
        <w:t>Kaiwharawhara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Kelburn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Khandallah</w:t>
      </w:r>
      <w:proofErr w:type="spellEnd"/>
      <w:r w:rsidRPr="00492647">
        <w:rPr>
          <w:sz w:val="19"/>
          <w:szCs w:val="19"/>
        </w:rPr>
        <w:t xml:space="preserve">, Lambton Quay, Mt Cook, Mt Victoria, </w:t>
      </w:r>
      <w:proofErr w:type="spellStart"/>
      <w:r w:rsidRPr="00492647">
        <w:rPr>
          <w:sz w:val="19"/>
          <w:szCs w:val="19"/>
        </w:rPr>
        <w:t>Ngaio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Ngauranga</w:t>
      </w:r>
      <w:proofErr w:type="spellEnd"/>
      <w:r w:rsidRPr="00492647">
        <w:rPr>
          <w:sz w:val="19"/>
          <w:szCs w:val="19"/>
        </w:rPr>
        <w:t xml:space="preserve">, Northland, Oriental Bay, </w:t>
      </w:r>
      <w:proofErr w:type="spellStart"/>
      <w:r w:rsidRPr="00492647">
        <w:rPr>
          <w:sz w:val="19"/>
          <w:szCs w:val="19"/>
        </w:rPr>
        <w:t>Pipitea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Raroa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Roseneath</w:t>
      </w:r>
      <w:proofErr w:type="spellEnd"/>
      <w:r w:rsidRPr="00492647">
        <w:rPr>
          <w:sz w:val="19"/>
          <w:szCs w:val="19"/>
        </w:rPr>
        <w:t xml:space="preserve">, Te </w:t>
      </w:r>
      <w:proofErr w:type="spellStart"/>
      <w:r w:rsidRPr="00492647">
        <w:rPr>
          <w:sz w:val="19"/>
          <w:szCs w:val="19"/>
        </w:rPr>
        <w:t>Aro</w:t>
      </w:r>
      <w:proofErr w:type="spellEnd"/>
      <w:r w:rsidRPr="00492647">
        <w:rPr>
          <w:sz w:val="19"/>
          <w:szCs w:val="19"/>
        </w:rPr>
        <w:t xml:space="preserve">, Thorndon, </w:t>
      </w:r>
      <w:proofErr w:type="spellStart"/>
      <w:r w:rsidRPr="00492647">
        <w:rPr>
          <w:sz w:val="19"/>
          <w:szCs w:val="19"/>
        </w:rPr>
        <w:t>Wadestown</w:t>
      </w:r>
      <w:proofErr w:type="spellEnd"/>
      <w:r w:rsidRPr="00492647">
        <w:rPr>
          <w:sz w:val="19"/>
          <w:szCs w:val="19"/>
        </w:rPr>
        <w:t>, Wellington Wharf, Wilton.</w:t>
      </w:r>
    </w:p>
    <w:p w:rsidR="00492647" w:rsidRPr="00492647" w:rsidRDefault="00492647" w:rsidP="00492647">
      <w:pPr>
        <w:spacing w:after="160" w:line="259" w:lineRule="auto"/>
        <w:rPr>
          <w:sz w:val="19"/>
          <w:szCs w:val="19"/>
        </w:rPr>
      </w:pPr>
      <w:r w:rsidRPr="00492647">
        <w:rPr>
          <w:sz w:val="19"/>
          <w:szCs w:val="19"/>
        </w:rPr>
        <w:t xml:space="preserve">Wellington 2: </w:t>
      </w:r>
      <w:proofErr w:type="spellStart"/>
      <w:r w:rsidRPr="00492647">
        <w:rPr>
          <w:sz w:val="19"/>
          <w:szCs w:val="19"/>
        </w:rPr>
        <w:t>Alicetown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Berhampore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Broadmeadows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Chartwell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Churton Park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Crofton Down</w:t>
      </w:r>
      <w:proofErr w:type="spellEnd"/>
      <w:r w:rsidRPr="00492647">
        <w:rPr>
          <w:sz w:val="19"/>
          <w:szCs w:val="19"/>
        </w:rPr>
        <w:t xml:space="preserve">s, Evans Bay, Glenside, </w:t>
      </w:r>
      <w:proofErr w:type="spellStart"/>
      <w:r w:rsidRPr="00492647">
        <w:rPr>
          <w:sz w:val="19"/>
          <w:szCs w:val="19"/>
        </w:rPr>
        <w:t>Gracefield</w:t>
      </w:r>
      <w:proofErr w:type="spellEnd"/>
      <w:r w:rsidRPr="00492647">
        <w:rPr>
          <w:sz w:val="19"/>
          <w:szCs w:val="19"/>
        </w:rPr>
        <w:t xml:space="preserve">, Grenada, Greta Point, Happy Valley, </w:t>
      </w:r>
      <w:proofErr w:type="spellStart"/>
      <w:r w:rsidRPr="00492647">
        <w:rPr>
          <w:sz w:val="19"/>
          <w:szCs w:val="19"/>
        </w:rPr>
        <w:t>Hataitai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Horokiwi</w:t>
      </w:r>
      <w:proofErr w:type="spellEnd"/>
      <w:r w:rsidRPr="00492647">
        <w:rPr>
          <w:sz w:val="19"/>
          <w:szCs w:val="19"/>
        </w:rPr>
        <w:t xml:space="preserve">, Island Bay, Johnsonville, </w:t>
      </w:r>
      <w:proofErr w:type="spellStart"/>
      <w:r w:rsidRPr="00492647">
        <w:rPr>
          <w:sz w:val="19"/>
          <w:szCs w:val="19"/>
        </w:rPr>
        <w:t>Karori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Kilbirnie</w:t>
      </w:r>
      <w:proofErr w:type="spellEnd"/>
      <w:r w:rsidRPr="00492647">
        <w:rPr>
          <w:sz w:val="19"/>
          <w:szCs w:val="19"/>
        </w:rPr>
        <w:t xml:space="preserve">, Kingston Heights, Lower Hutt, Lyall Bay, </w:t>
      </w:r>
      <w:proofErr w:type="spellStart"/>
      <w:r w:rsidRPr="00492647">
        <w:rPr>
          <w:sz w:val="19"/>
          <w:szCs w:val="19"/>
        </w:rPr>
        <w:t>Maupuia</w:t>
      </w:r>
      <w:proofErr w:type="spellEnd"/>
      <w:r w:rsidRPr="00492647">
        <w:rPr>
          <w:sz w:val="19"/>
          <w:szCs w:val="19"/>
        </w:rPr>
        <w:t xml:space="preserve">, Melrose, Miramar, </w:t>
      </w:r>
      <w:proofErr w:type="spellStart"/>
      <w:r w:rsidRPr="00492647">
        <w:rPr>
          <w:sz w:val="19"/>
          <w:szCs w:val="19"/>
        </w:rPr>
        <w:t>Moera</w:t>
      </w:r>
      <w:proofErr w:type="spellEnd"/>
      <w:r w:rsidRPr="00492647">
        <w:rPr>
          <w:sz w:val="19"/>
          <w:szCs w:val="19"/>
        </w:rPr>
        <w:t xml:space="preserve">, Mornington, Newlands, Newtown, </w:t>
      </w:r>
      <w:proofErr w:type="spellStart"/>
      <w:r w:rsidRPr="00492647">
        <w:rPr>
          <w:sz w:val="19"/>
          <w:szCs w:val="19"/>
        </w:rPr>
        <w:t>Paparangi</w:t>
      </w:r>
      <w:proofErr w:type="spellEnd"/>
      <w:r w:rsidRPr="00492647">
        <w:rPr>
          <w:sz w:val="19"/>
          <w:szCs w:val="19"/>
        </w:rPr>
        <w:t xml:space="preserve">, Parklands, </w:t>
      </w:r>
      <w:proofErr w:type="spellStart"/>
      <w:r w:rsidRPr="00492647">
        <w:rPr>
          <w:sz w:val="19"/>
          <w:szCs w:val="19"/>
        </w:rPr>
        <w:t>Petone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Rongotai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Seatoun</w:t>
      </w:r>
      <w:proofErr w:type="spellEnd"/>
      <w:r w:rsidRPr="00492647">
        <w:rPr>
          <w:sz w:val="19"/>
          <w:szCs w:val="19"/>
        </w:rPr>
        <w:t xml:space="preserve">, Seaview, Strathmore, </w:t>
      </w:r>
      <w:proofErr w:type="spellStart"/>
      <w:r w:rsidRPr="00492647">
        <w:rPr>
          <w:sz w:val="19"/>
          <w:szCs w:val="19"/>
        </w:rPr>
        <w:t>Vogeltown</w:t>
      </w:r>
      <w:proofErr w:type="spellEnd"/>
      <w:r w:rsidRPr="00492647">
        <w:rPr>
          <w:sz w:val="19"/>
          <w:szCs w:val="19"/>
        </w:rPr>
        <w:t>, Wellington Airport, Woodridge.</w:t>
      </w:r>
    </w:p>
    <w:p w:rsidR="00492647" w:rsidRDefault="00492647" w:rsidP="00492647">
      <w:pPr>
        <w:spacing w:after="160" w:line="259" w:lineRule="auto"/>
      </w:pPr>
      <w:r w:rsidRPr="00492647">
        <w:rPr>
          <w:sz w:val="19"/>
          <w:szCs w:val="19"/>
        </w:rPr>
        <w:t xml:space="preserve">Wellington 3: Ascot Park, Avalon, Belmont, Breaker Bay, Cannons Creek, Elsdon, Granada North, Harbour View, Houghton Bay, Karaka Bay, </w:t>
      </w:r>
      <w:proofErr w:type="spellStart"/>
      <w:r w:rsidRPr="00492647">
        <w:rPr>
          <w:sz w:val="19"/>
          <w:szCs w:val="19"/>
        </w:rPr>
        <w:t>Kelson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Kenepuru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Korokoro</w:t>
      </w:r>
      <w:proofErr w:type="spellEnd"/>
      <w:r w:rsidRPr="00492647">
        <w:rPr>
          <w:sz w:val="19"/>
          <w:szCs w:val="19"/>
        </w:rPr>
        <w:t xml:space="preserve">, Kowhai Park, Linden, Manor Park, </w:t>
      </w:r>
      <w:proofErr w:type="spellStart"/>
      <w:r w:rsidRPr="00492647">
        <w:rPr>
          <w:sz w:val="19"/>
          <w:szCs w:val="19"/>
        </w:rPr>
        <w:t>Maungaraki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Melling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Naenae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Normandale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Onepoto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Owhiro</w:t>
      </w:r>
      <w:proofErr w:type="spellEnd"/>
      <w:r w:rsidRPr="00492647">
        <w:rPr>
          <w:sz w:val="19"/>
          <w:szCs w:val="19"/>
        </w:rPr>
        <w:t xml:space="preserve"> Bay, </w:t>
      </w:r>
      <w:proofErr w:type="spellStart"/>
      <w:r w:rsidRPr="00492647">
        <w:rPr>
          <w:sz w:val="19"/>
          <w:szCs w:val="19"/>
        </w:rPr>
        <w:t>Pomare</w:t>
      </w:r>
      <w:proofErr w:type="spellEnd"/>
      <w:r w:rsidRPr="00492647">
        <w:rPr>
          <w:sz w:val="19"/>
          <w:szCs w:val="19"/>
        </w:rPr>
        <w:t xml:space="preserve">, Porirua, Pt Howard, </w:t>
      </w:r>
      <w:proofErr w:type="spellStart"/>
      <w:r w:rsidRPr="00492647">
        <w:rPr>
          <w:sz w:val="19"/>
          <w:szCs w:val="19"/>
        </w:rPr>
        <w:t>Ranui</w:t>
      </w:r>
      <w:proofErr w:type="spellEnd"/>
      <w:r w:rsidRPr="00492647">
        <w:rPr>
          <w:sz w:val="19"/>
          <w:szCs w:val="19"/>
        </w:rPr>
        <w:t xml:space="preserve"> Heights, </w:t>
      </w:r>
      <w:proofErr w:type="spellStart"/>
      <w:r w:rsidRPr="00492647">
        <w:rPr>
          <w:sz w:val="19"/>
          <w:szCs w:val="19"/>
        </w:rPr>
        <w:t>Taita</w:t>
      </w:r>
      <w:proofErr w:type="spellEnd"/>
      <w:r w:rsidRPr="00492647">
        <w:rPr>
          <w:sz w:val="19"/>
          <w:szCs w:val="19"/>
        </w:rPr>
        <w:t xml:space="preserve">, Tawa, </w:t>
      </w:r>
      <w:proofErr w:type="spellStart"/>
      <w:r w:rsidRPr="00492647">
        <w:rPr>
          <w:sz w:val="19"/>
          <w:szCs w:val="19"/>
        </w:rPr>
        <w:t>Tirohanga</w:t>
      </w:r>
      <w:proofErr w:type="spellEnd"/>
      <w:r w:rsidRPr="00492647">
        <w:rPr>
          <w:sz w:val="19"/>
          <w:szCs w:val="19"/>
        </w:rPr>
        <w:t xml:space="preserve">, </w:t>
      </w:r>
      <w:proofErr w:type="spellStart"/>
      <w:r w:rsidRPr="00492647">
        <w:rPr>
          <w:sz w:val="19"/>
          <w:szCs w:val="19"/>
        </w:rPr>
        <w:t>Titahi</w:t>
      </w:r>
      <w:proofErr w:type="spellEnd"/>
      <w:r w:rsidRPr="00492647">
        <w:rPr>
          <w:sz w:val="19"/>
          <w:szCs w:val="19"/>
        </w:rPr>
        <w:t xml:space="preserve"> Bay, </w:t>
      </w:r>
      <w:proofErr w:type="spellStart"/>
      <w:r w:rsidRPr="00492647">
        <w:rPr>
          <w:sz w:val="19"/>
          <w:szCs w:val="19"/>
        </w:rPr>
        <w:t>Waiwhetu</w:t>
      </w:r>
      <w:proofErr w:type="spellEnd"/>
      <w:r w:rsidRPr="00492647">
        <w:rPr>
          <w:sz w:val="19"/>
          <w:szCs w:val="19"/>
        </w:rPr>
        <w:t>, Waterloo, Wingate, Woburn.</w:t>
      </w:r>
    </w:p>
    <w:sectPr w:rsidR="0049264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6CB" w:rsidRDefault="007B36CB" w:rsidP="007B36CB">
      <w:r>
        <w:separator/>
      </w:r>
    </w:p>
  </w:endnote>
  <w:endnote w:type="continuationSeparator" w:id="0">
    <w:p w:rsidR="007B36CB" w:rsidRDefault="007B36CB" w:rsidP="007B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Y2K Neophyte">
    <w:panose1 w:val="020B0603050800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KievitOT-Light">
    <w:altName w:val="Agency FB"/>
    <w:charset w:val="00"/>
    <w:family w:val="auto"/>
    <w:pitch w:val="variable"/>
    <w:sig w:usb0="00000003" w:usb1="4000204B" w:usb2="00000000" w:usb3="00000000" w:csb0="00000001" w:csb1="00000000"/>
  </w:font>
  <w:font w:name="Arial-BoldMT">
    <w:altName w:val="Arial"/>
    <w:charset w:val="00"/>
    <w:family w:val="auto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6CB" w:rsidRDefault="007B36CB" w:rsidP="007B36CB">
      <w:bookmarkStart w:id="0" w:name="_Hlk482879315"/>
      <w:bookmarkEnd w:id="0"/>
      <w:r>
        <w:separator/>
      </w:r>
    </w:p>
  </w:footnote>
  <w:footnote w:type="continuationSeparator" w:id="0">
    <w:p w:rsidR="007B36CB" w:rsidRDefault="007B36CB" w:rsidP="007B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6CB" w:rsidRDefault="007B36CB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794D1972" wp14:editId="1DD61F4E">
          <wp:simplePos x="0" y="0"/>
          <wp:positionH relativeFrom="column">
            <wp:posOffset>-904875</wp:posOffset>
          </wp:positionH>
          <wp:positionV relativeFrom="paragraph">
            <wp:posOffset>-429260</wp:posOffset>
          </wp:positionV>
          <wp:extent cx="7562850" cy="1057275"/>
          <wp:effectExtent l="19050" t="0" r="0" b="0"/>
          <wp:wrapNone/>
          <wp:docPr id="1" name="Picture 1" descr="Jobs:Panelform:PAN0012 Letterhead:Production:PAN0012 Word Doc:PAN0012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obs:Panelform:PAN0012 Letterhead:Production:PAN0012 Word Doc:PAN0012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0112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6C7"/>
    <w:multiLevelType w:val="hybridMultilevel"/>
    <w:tmpl w:val="60CE30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E1155"/>
    <w:multiLevelType w:val="hybridMultilevel"/>
    <w:tmpl w:val="4C3E6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C75FA"/>
    <w:multiLevelType w:val="hybridMultilevel"/>
    <w:tmpl w:val="798A0DB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42273"/>
    <w:multiLevelType w:val="hybridMultilevel"/>
    <w:tmpl w:val="886AD5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CB"/>
    <w:rsid w:val="00151178"/>
    <w:rsid w:val="001A38AE"/>
    <w:rsid w:val="001A58FE"/>
    <w:rsid w:val="00492647"/>
    <w:rsid w:val="007B36CB"/>
    <w:rsid w:val="00AC26CA"/>
    <w:rsid w:val="00DB3E1F"/>
    <w:rsid w:val="00E3530C"/>
    <w:rsid w:val="00E7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4FD1E"/>
  <w15:chartTrackingRefBased/>
  <w15:docId w15:val="{36D60EBC-1F19-49A8-97AF-DAAE95FF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2647"/>
    <w:pPr>
      <w:spacing w:after="0" w:line="240" w:lineRule="auto"/>
    </w:pPr>
    <w:rPr>
      <w:rFonts w:ascii="Roboto" w:eastAsia="Times New Roman" w:hAnsi="Roboto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2647"/>
    <w:pPr>
      <w:outlineLvl w:val="0"/>
    </w:pPr>
    <w:rPr>
      <w:rFonts w:ascii="Y2K Neophyte" w:eastAsiaTheme="majorEastAsia" w:hAnsi="Y2K Neophyte" w:cstheme="majorBidi"/>
      <w:b/>
      <w:color w:val="49535A"/>
      <w:sz w:val="32"/>
      <w:szCs w:val="32"/>
    </w:rPr>
  </w:style>
  <w:style w:type="paragraph" w:styleId="Heading3">
    <w:name w:val="heading 3"/>
    <w:basedOn w:val="Heading4"/>
    <w:next w:val="Normal"/>
    <w:link w:val="Heading3Char"/>
    <w:uiPriority w:val="9"/>
    <w:unhideWhenUsed/>
    <w:qFormat/>
    <w:rsid w:val="00492647"/>
    <w:pPr>
      <w:outlineLvl w:val="2"/>
    </w:pPr>
    <w:rPr>
      <w:rFonts w:ascii="Roboto" w:hAnsi="Roboto"/>
      <w:i w:val="0"/>
      <w:color w:val="49535A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264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36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36CB"/>
  </w:style>
  <w:style w:type="paragraph" w:styleId="Footer">
    <w:name w:val="footer"/>
    <w:basedOn w:val="Normal"/>
    <w:link w:val="FooterChar"/>
    <w:uiPriority w:val="99"/>
    <w:unhideWhenUsed/>
    <w:rsid w:val="007B36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36CB"/>
  </w:style>
  <w:style w:type="character" w:customStyle="1" w:styleId="Heading1Char">
    <w:name w:val="Heading 1 Char"/>
    <w:basedOn w:val="DefaultParagraphFont"/>
    <w:link w:val="Heading1"/>
    <w:uiPriority w:val="9"/>
    <w:rsid w:val="00492647"/>
    <w:rPr>
      <w:rFonts w:ascii="Y2K Neophyte" w:eastAsiaTheme="majorEastAsia" w:hAnsi="Y2K Neophyte" w:cstheme="majorBidi"/>
      <w:b/>
      <w:color w:val="49535A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92647"/>
    <w:rPr>
      <w:rFonts w:ascii="Roboto" w:eastAsiaTheme="majorEastAsia" w:hAnsi="Roboto" w:cstheme="majorBidi"/>
      <w:iCs/>
      <w:color w:val="49535A"/>
      <w:sz w:val="20"/>
    </w:rPr>
  </w:style>
  <w:style w:type="paragraph" w:styleId="ListParagraph">
    <w:name w:val="List Paragraph"/>
    <w:basedOn w:val="Normal"/>
    <w:uiPriority w:val="34"/>
    <w:qFormat/>
    <w:rsid w:val="00492647"/>
    <w:pPr>
      <w:ind w:left="720"/>
      <w:contextualSpacing/>
    </w:pPr>
  </w:style>
  <w:style w:type="table" w:styleId="TableGrid">
    <w:name w:val="Table Grid"/>
    <w:basedOn w:val="TableNormal"/>
    <w:uiPriority w:val="59"/>
    <w:rsid w:val="00492647"/>
    <w:pPr>
      <w:spacing w:after="0" w:line="240" w:lineRule="auto"/>
    </w:pPr>
    <w:rPr>
      <w:rFonts w:ascii="KievitOT-Light" w:eastAsiaTheme="minorEastAsia" w:hAnsi="KievitOT-Light" w:cs="Arial-BoldMT"/>
      <w:lang w:val="en-AU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492647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Allison</dc:creator>
  <cp:keywords/>
  <dc:description/>
  <cp:lastModifiedBy>Lara Allison</cp:lastModifiedBy>
  <cp:revision>3</cp:revision>
  <dcterms:created xsi:type="dcterms:W3CDTF">2017-05-17T23:51:00Z</dcterms:created>
  <dcterms:modified xsi:type="dcterms:W3CDTF">2017-05-19T01:35:00Z</dcterms:modified>
</cp:coreProperties>
</file>